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3D7" w:rsidRPr="002F0845" w:rsidRDefault="00AA03D7">
      <w:pPr>
        <w:pStyle w:val="BodyText"/>
        <w:spacing w:before="0"/>
        <w:rPr>
          <w:rFonts w:ascii="Arial" w:hAnsi="Arial" w:cs="Arial"/>
          <w:sz w:val="20"/>
        </w:rPr>
      </w:pPr>
    </w:p>
    <w:p w:rsidR="00AA03D7" w:rsidRPr="002F0845" w:rsidRDefault="00AA03D7">
      <w:pPr>
        <w:pStyle w:val="BodyText"/>
        <w:spacing w:before="0"/>
        <w:rPr>
          <w:rFonts w:ascii="Arial" w:hAnsi="Arial" w:cs="Arial"/>
          <w:sz w:val="20"/>
        </w:rPr>
      </w:pPr>
    </w:p>
    <w:p w:rsidR="00AA03D7" w:rsidRPr="002F0845" w:rsidRDefault="00AA03D7">
      <w:pPr>
        <w:spacing w:before="81" w:line="175" w:lineRule="exact"/>
        <w:ind w:right="1970"/>
        <w:jc w:val="right"/>
        <w:rPr>
          <w:rFonts w:ascii="Arial" w:hAnsi="Arial" w:cs="Arial"/>
          <w:sz w:val="16"/>
        </w:rPr>
      </w:pPr>
    </w:p>
    <w:p w:rsidR="00AA03D7" w:rsidRPr="00FB5334" w:rsidRDefault="00C019F3">
      <w:pPr>
        <w:ind w:left="3868" w:right="4079"/>
        <w:jc w:val="center"/>
        <w:rPr>
          <w:rFonts w:ascii="Arial" w:hAnsi="Arial" w:cs="Arial"/>
          <w:b/>
        </w:rPr>
      </w:pPr>
      <w:r w:rsidRPr="00FB5334">
        <w:rPr>
          <w:rFonts w:ascii="Arial" w:hAnsi="Arial" w:cs="Arial"/>
          <w:b/>
          <w:w w:val="120"/>
        </w:rPr>
        <w:t>BUSINESS CONTINUITY MANAGEMENT</w:t>
      </w:r>
    </w:p>
    <w:p w:rsidR="00AA03D7" w:rsidRPr="002F0845" w:rsidRDefault="00AA03D7">
      <w:pPr>
        <w:pStyle w:val="BodyText"/>
        <w:spacing w:before="9"/>
        <w:rPr>
          <w:rFonts w:ascii="Arial" w:hAnsi="Arial" w:cs="Arial"/>
          <w:sz w:val="25"/>
        </w:rPr>
      </w:pPr>
      <w:bookmarkStart w:id="0" w:name="_GoBack"/>
      <w:bookmarkEnd w:id="0"/>
    </w:p>
    <w:p w:rsidR="00AA03D7" w:rsidRPr="002F0845" w:rsidRDefault="00C019F3">
      <w:pPr>
        <w:pStyle w:val="BodyText"/>
        <w:spacing w:before="73"/>
        <w:ind w:left="847"/>
        <w:jc w:val="both"/>
        <w:rPr>
          <w:rFonts w:ascii="Arial" w:hAnsi="Arial" w:cs="Arial"/>
        </w:rPr>
      </w:pPr>
      <w:r w:rsidRPr="002F0845">
        <w:rPr>
          <w:rFonts w:ascii="Arial" w:hAnsi="Arial" w:cs="Arial"/>
          <w:w w:val="120"/>
        </w:rPr>
        <w:t>Policy Statement</w:t>
      </w:r>
    </w:p>
    <w:p w:rsidR="00AA03D7" w:rsidRPr="00D93BD5" w:rsidRDefault="00C019F3">
      <w:pPr>
        <w:pStyle w:val="BodyText"/>
        <w:ind w:left="847" w:right="1466"/>
        <w:jc w:val="both"/>
        <w:rPr>
          <w:rFonts w:ascii="Arial" w:hAnsi="Arial" w:cs="Arial"/>
          <w:sz w:val="20"/>
          <w:szCs w:val="20"/>
        </w:rPr>
      </w:pPr>
      <w:r w:rsidRPr="00D93BD5">
        <w:rPr>
          <w:rFonts w:ascii="Arial" w:hAnsi="Arial" w:cs="Arial"/>
          <w:sz w:val="20"/>
          <w:szCs w:val="20"/>
        </w:rPr>
        <w:t>The [</w:t>
      </w:r>
      <w:proofErr w:type="spellStart"/>
      <w:r w:rsidRPr="00D93BD5">
        <w:rPr>
          <w:rFonts w:ascii="Arial" w:hAnsi="Arial" w:cs="Arial"/>
          <w:sz w:val="20"/>
          <w:szCs w:val="20"/>
        </w:rPr>
        <w:t>Organisation</w:t>
      </w:r>
      <w:proofErr w:type="spellEnd"/>
      <w:r w:rsidRPr="00D93BD5">
        <w:rPr>
          <w:rFonts w:ascii="Arial" w:hAnsi="Arial" w:cs="Arial"/>
          <w:sz w:val="20"/>
          <w:szCs w:val="20"/>
        </w:rPr>
        <w:t>] is committed to ensure resilience and long</w:t>
      </w:r>
      <w:r w:rsidR="00E757CC" w:rsidRPr="00D93BD5">
        <w:rPr>
          <w:rFonts w:ascii="Arial" w:hAnsi="Arial" w:cs="Arial"/>
          <w:sz w:val="20"/>
          <w:szCs w:val="20"/>
        </w:rPr>
        <w:t>-</w:t>
      </w:r>
      <w:r w:rsidRPr="00D93BD5">
        <w:rPr>
          <w:rFonts w:ascii="Arial" w:hAnsi="Arial" w:cs="Arial"/>
          <w:sz w:val="20"/>
          <w:szCs w:val="20"/>
        </w:rPr>
        <w:t xml:space="preserve"> term performance in the face of a major potential disruption to essential services. Business Continuity planning based on appropriate risk management practices aims to identify potential emergency situations that may arise either internally or externally in terms of consequence, exposure, probability and preventative actions. The </w:t>
      </w:r>
      <w:proofErr w:type="spellStart"/>
      <w:r w:rsidRPr="00D93BD5">
        <w:rPr>
          <w:rFonts w:ascii="Arial" w:hAnsi="Arial" w:cs="Arial"/>
          <w:sz w:val="20"/>
          <w:szCs w:val="20"/>
        </w:rPr>
        <w:t>organisation</w:t>
      </w:r>
      <w:proofErr w:type="spellEnd"/>
      <w:r w:rsidRPr="00D93BD5">
        <w:rPr>
          <w:rFonts w:ascii="Arial" w:hAnsi="Arial" w:cs="Arial"/>
          <w:sz w:val="20"/>
          <w:szCs w:val="20"/>
        </w:rPr>
        <w:t xml:space="preserve"> will develop and implement an appropriate emergency response system, business continuity plan and disaster recovery plan in consultation with relevant external emergency response </w:t>
      </w:r>
      <w:proofErr w:type="spellStart"/>
      <w:r w:rsidRPr="00D93BD5">
        <w:rPr>
          <w:rFonts w:ascii="Arial" w:hAnsi="Arial" w:cs="Arial"/>
          <w:sz w:val="20"/>
          <w:szCs w:val="20"/>
        </w:rPr>
        <w:t>organisations</w:t>
      </w:r>
      <w:proofErr w:type="spellEnd"/>
      <w:r w:rsidRPr="00D93BD5">
        <w:rPr>
          <w:rFonts w:ascii="Arial" w:hAnsi="Arial" w:cs="Arial"/>
          <w:sz w:val="20"/>
          <w:szCs w:val="20"/>
        </w:rPr>
        <w:t xml:space="preserve"> to ensure critical business objectives continue to be met   in the face of any</w:t>
      </w:r>
      <w:r w:rsidRPr="00D93BD5">
        <w:rPr>
          <w:rFonts w:ascii="Arial" w:hAnsi="Arial" w:cs="Arial"/>
          <w:spacing w:val="-8"/>
          <w:sz w:val="20"/>
          <w:szCs w:val="20"/>
        </w:rPr>
        <w:t xml:space="preserve"> </w:t>
      </w:r>
      <w:r w:rsidRPr="00D93BD5">
        <w:rPr>
          <w:rFonts w:ascii="Arial" w:hAnsi="Arial" w:cs="Arial"/>
          <w:sz w:val="20"/>
          <w:szCs w:val="20"/>
        </w:rPr>
        <w:t>disruption.</w:t>
      </w:r>
    </w:p>
    <w:p w:rsidR="00AA03D7" w:rsidRPr="002F0845" w:rsidRDefault="00AA03D7">
      <w:pPr>
        <w:pStyle w:val="BodyText"/>
        <w:spacing w:before="2"/>
        <w:rPr>
          <w:rFonts w:ascii="Arial" w:hAnsi="Arial" w:cs="Arial"/>
          <w:sz w:val="21"/>
        </w:rPr>
      </w:pPr>
    </w:p>
    <w:p w:rsidR="00AA03D7" w:rsidRPr="002F0845" w:rsidRDefault="00C019F3">
      <w:pPr>
        <w:pStyle w:val="BodyText"/>
        <w:spacing w:before="1"/>
        <w:ind w:left="847"/>
        <w:jc w:val="both"/>
        <w:rPr>
          <w:rFonts w:ascii="Arial" w:hAnsi="Arial" w:cs="Arial"/>
        </w:rPr>
      </w:pPr>
      <w:r w:rsidRPr="002F0845">
        <w:rPr>
          <w:rFonts w:ascii="Arial" w:hAnsi="Arial" w:cs="Arial"/>
          <w:w w:val="115"/>
        </w:rPr>
        <w:t>Guiding principles</w:t>
      </w:r>
    </w:p>
    <w:p w:rsidR="00AA03D7" w:rsidRPr="00D93BD5" w:rsidRDefault="00C019F3" w:rsidP="002F0845">
      <w:pPr>
        <w:pStyle w:val="ListParagraph"/>
        <w:numPr>
          <w:ilvl w:val="0"/>
          <w:numId w:val="3"/>
        </w:numPr>
        <w:tabs>
          <w:tab w:val="left" w:pos="1700"/>
        </w:tabs>
        <w:ind w:right="1654"/>
        <w:jc w:val="both"/>
        <w:rPr>
          <w:rFonts w:ascii="Arial" w:hAnsi="Arial" w:cs="Arial"/>
          <w:sz w:val="20"/>
          <w:szCs w:val="20"/>
        </w:rPr>
      </w:pPr>
      <w:r w:rsidRPr="00D93BD5">
        <w:rPr>
          <w:rFonts w:ascii="Arial" w:hAnsi="Arial" w:cs="Arial"/>
          <w:sz w:val="20"/>
          <w:szCs w:val="20"/>
        </w:rPr>
        <w:t>Potential emergency situations need to be identified including examples of external emergencies. Examples or external emergencies include but are not limited to severe weather, flooding, cyclone, earthquake, major transport accident, power failure. Examples of internal emergencies include but are not limited to fire, smoke, medical emergency, bomb threat, personal threat, infection outbreak, failure of essential services, financial mismanagement</w:t>
      </w:r>
    </w:p>
    <w:p w:rsidR="00AA03D7" w:rsidRPr="00D93BD5" w:rsidRDefault="00C019F3" w:rsidP="002F0845">
      <w:pPr>
        <w:pStyle w:val="ListParagraph"/>
        <w:numPr>
          <w:ilvl w:val="0"/>
          <w:numId w:val="3"/>
        </w:numPr>
        <w:tabs>
          <w:tab w:val="left" w:pos="1699"/>
          <w:tab w:val="left" w:pos="1700"/>
        </w:tabs>
        <w:rPr>
          <w:rFonts w:ascii="Arial" w:hAnsi="Arial" w:cs="Arial"/>
          <w:sz w:val="20"/>
          <w:szCs w:val="20"/>
        </w:rPr>
      </w:pPr>
      <w:r w:rsidRPr="00D93BD5">
        <w:rPr>
          <w:rFonts w:ascii="Arial" w:hAnsi="Arial" w:cs="Arial"/>
          <w:sz w:val="20"/>
          <w:szCs w:val="20"/>
        </w:rPr>
        <w:t xml:space="preserve">The </w:t>
      </w:r>
      <w:proofErr w:type="spellStart"/>
      <w:r w:rsidRPr="00D93BD5">
        <w:rPr>
          <w:rFonts w:ascii="Arial" w:hAnsi="Arial" w:cs="Arial"/>
          <w:sz w:val="20"/>
          <w:szCs w:val="20"/>
        </w:rPr>
        <w:t>organisation</w:t>
      </w:r>
      <w:proofErr w:type="spellEnd"/>
      <w:r w:rsidRPr="00D93BD5">
        <w:rPr>
          <w:rFonts w:ascii="Arial" w:hAnsi="Arial" w:cs="Arial"/>
          <w:sz w:val="20"/>
          <w:szCs w:val="20"/>
        </w:rPr>
        <w:t xml:space="preserve"> will have three generic responses</w:t>
      </w:r>
      <w:r w:rsidRPr="00D93BD5">
        <w:rPr>
          <w:rFonts w:ascii="Arial" w:hAnsi="Arial" w:cs="Arial"/>
          <w:spacing w:val="-22"/>
          <w:sz w:val="20"/>
          <w:szCs w:val="20"/>
        </w:rPr>
        <w:t xml:space="preserve"> </w:t>
      </w:r>
      <w:r w:rsidRPr="00D93BD5">
        <w:rPr>
          <w:rFonts w:ascii="Arial" w:hAnsi="Arial" w:cs="Arial"/>
          <w:sz w:val="20"/>
          <w:szCs w:val="20"/>
        </w:rPr>
        <w:t>including</w:t>
      </w:r>
    </w:p>
    <w:p w:rsidR="00AA03D7" w:rsidRPr="00D93BD5" w:rsidRDefault="00C019F3" w:rsidP="002F0845">
      <w:pPr>
        <w:pStyle w:val="ListParagraph"/>
        <w:numPr>
          <w:ilvl w:val="0"/>
          <w:numId w:val="3"/>
        </w:numPr>
        <w:tabs>
          <w:tab w:val="left" w:pos="1700"/>
        </w:tabs>
        <w:ind w:right="1653"/>
        <w:jc w:val="both"/>
        <w:rPr>
          <w:rFonts w:ascii="Arial" w:hAnsi="Arial" w:cs="Arial"/>
          <w:sz w:val="20"/>
          <w:szCs w:val="20"/>
        </w:rPr>
      </w:pPr>
      <w:r w:rsidRPr="00D93BD5">
        <w:rPr>
          <w:rFonts w:ascii="Arial" w:hAnsi="Arial" w:cs="Arial"/>
          <w:sz w:val="20"/>
          <w:szCs w:val="20"/>
        </w:rPr>
        <w:t xml:space="preserve">Emergency response:  The initial response to a disruption usually involves the protection of people and property from immediate harm. An initial reaction by management may  form part of the </w:t>
      </w:r>
      <w:proofErr w:type="spellStart"/>
      <w:r w:rsidRPr="00D93BD5">
        <w:rPr>
          <w:rFonts w:ascii="Arial" w:hAnsi="Arial" w:cs="Arial"/>
          <w:sz w:val="20"/>
          <w:szCs w:val="20"/>
        </w:rPr>
        <w:t>organisations</w:t>
      </w:r>
      <w:proofErr w:type="spellEnd"/>
      <w:r w:rsidRPr="00D93BD5">
        <w:rPr>
          <w:rFonts w:ascii="Arial" w:hAnsi="Arial" w:cs="Arial"/>
          <w:sz w:val="20"/>
          <w:szCs w:val="20"/>
        </w:rPr>
        <w:t xml:space="preserve"> first</w:t>
      </w:r>
      <w:r w:rsidRPr="00D93BD5">
        <w:rPr>
          <w:rFonts w:ascii="Arial" w:hAnsi="Arial" w:cs="Arial"/>
          <w:spacing w:val="-13"/>
          <w:sz w:val="20"/>
          <w:szCs w:val="20"/>
        </w:rPr>
        <w:t xml:space="preserve"> </w:t>
      </w:r>
      <w:r w:rsidRPr="00D93BD5">
        <w:rPr>
          <w:rFonts w:ascii="Arial" w:hAnsi="Arial" w:cs="Arial"/>
          <w:sz w:val="20"/>
          <w:szCs w:val="20"/>
        </w:rPr>
        <w:t>response</w:t>
      </w:r>
    </w:p>
    <w:p w:rsidR="00AA03D7" w:rsidRPr="00D93BD5" w:rsidRDefault="00C019F3" w:rsidP="002F0845">
      <w:pPr>
        <w:pStyle w:val="ListParagraph"/>
        <w:numPr>
          <w:ilvl w:val="0"/>
          <w:numId w:val="3"/>
        </w:numPr>
        <w:tabs>
          <w:tab w:val="left" w:pos="1700"/>
        </w:tabs>
        <w:ind w:right="1652"/>
        <w:jc w:val="both"/>
        <w:rPr>
          <w:rFonts w:ascii="Arial" w:hAnsi="Arial" w:cs="Arial"/>
          <w:sz w:val="20"/>
          <w:szCs w:val="20"/>
        </w:rPr>
      </w:pPr>
      <w:r w:rsidRPr="00D93BD5">
        <w:rPr>
          <w:rFonts w:ascii="Arial" w:hAnsi="Arial" w:cs="Arial"/>
          <w:sz w:val="20"/>
          <w:szCs w:val="20"/>
        </w:rPr>
        <w:t xml:space="preserve">Continuity response:- Processes, controls and resources are made available to ensure that the </w:t>
      </w:r>
      <w:proofErr w:type="spellStart"/>
      <w:r w:rsidRPr="00D93BD5">
        <w:rPr>
          <w:rFonts w:ascii="Arial" w:hAnsi="Arial" w:cs="Arial"/>
          <w:sz w:val="20"/>
          <w:szCs w:val="20"/>
        </w:rPr>
        <w:t>organisation</w:t>
      </w:r>
      <w:proofErr w:type="spellEnd"/>
      <w:r w:rsidRPr="00D93BD5">
        <w:rPr>
          <w:rFonts w:ascii="Arial" w:hAnsi="Arial" w:cs="Arial"/>
          <w:sz w:val="20"/>
          <w:szCs w:val="20"/>
        </w:rPr>
        <w:t xml:space="preserve"> continues to meet its critical business</w:t>
      </w:r>
      <w:r w:rsidRPr="00D93BD5">
        <w:rPr>
          <w:rFonts w:ascii="Arial" w:hAnsi="Arial" w:cs="Arial"/>
          <w:spacing w:val="-27"/>
          <w:sz w:val="20"/>
          <w:szCs w:val="20"/>
        </w:rPr>
        <w:t xml:space="preserve"> </w:t>
      </w:r>
      <w:r w:rsidRPr="00D93BD5">
        <w:rPr>
          <w:rFonts w:ascii="Arial" w:hAnsi="Arial" w:cs="Arial"/>
          <w:sz w:val="20"/>
          <w:szCs w:val="20"/>
        </w:rPr>
        <w:t>objectives</w:t>
      </w:r>
    </w:p>
    <w:p w:rsidR="00AA03D7" w:rsidRPr="00D93BD5" w:rsidRDefault="00C019F3" w:rsidP="002F0845">
      <w:pPr>
        <w:pStyle w:val="ListParagraph"/>
        <w:numPr>
          <w:ilvl w:val="0"/>
          <w:numId w:val="3"/>
        </w:numPr>
        <w:tabs>
          <w:tab w:val="left" w:pos="1700"/>
        </w:tabs>
        <w:spacing w:before="121"/>
        <w:ind w:right="1652"/>
        <w:jc w:val="both"/>
        <w:rPr>
          <w:rFonts w:ascii="Arial" w:hAnsi="Arial" w:cs="Arial"/>
          <w:sz w:val="20"/>
          <w:szCs w:val="20"/>
        </w:rPr>
      </w:pPr>
      <w:r w:rsidRPr="00D93BD5">
        <w:rPr>
          <w:rFonts w:ascii="Arial" w:hAnsi="Arial" w:cs="Arial"/>
          <w:sz w:val="20"/>
          <w:szCs w:val="20"/>
        </w:rPr>
        <w:t xml:space="preserve">Recovery response: Processes, resources and capabilities of the </w:t>
      </w:r>
      <w:proofErr w:type="spellStart"/>
      <w:r w:rsidRPr="00D93BD5">
        <w:rPr>
          <w:rFonts w:ascii="Arial" w:hAnsi="Arial" w:cs="Arial"/>
          <w:sz w:val="20"/>
          <w:szCs w:val="20"/>
        </w:rPr>
        <w:t>organisation</w:t>
      </w:r>
      <w:proofErr w:type="spellEnd"/>
      <w:r w:rsidRPr="00D93BD5">
        <w:rPr>
          <w:rFonts w:ascii="Arial" w:hAnsi="Arial" w:cs="Arial"/>
          <w:sz w:val="20"/>
          <w:szCs w:val="20"/>
        </w:rPr>
        <w:t xml:space="preserve"> are re- established to meet ongoing operational requirements. This will often include the introduction of significant </w:t>
      </w:r>
      <w:proofErr w:type="spellStart"/>
      <w:r w:rsidRPr="00D93BD5">
        <w:rPr>
          <w:rFonts w:ascii="Arial" w:hAnsi="Arial" w:cs="Arial"/>
          <w:sz w:val="20"/>
          <w:szCs w:val="20"/>
        </w:rPr>
        <w:t>organisational</w:t>
      </w:r>
      <w:proofErr w:type="spellEnd"/>
      <w:r w:rsidRPr="00D93BD5">
        <w:rPr>
          <w:rFonts w:ascii="Arial" w:hAnsi="Arial" w:cs="Arial"/>
          <w:sz w:val="20"/>
          <w:szCs w:val="20"/>
        </w:rPr>
        <w:t xml:space="preserve"> improvements even to the extent of refocusing strategic or business</w:t>
      </w:r>
      <w:r w:rsidRPr="00D93BD5">
        <w:rPr>
          <w:rFonts w:ascii="Arial" w:hAnsi="Arial" w:cs="Arial"/>
          <w:spacing w:val="-13"/>
          <w:sz w:val="20"/>
          <w:szCs w:val="20"/>
        </w:rPr>
        <w:t xml:space="preserve"> </w:t>
      </w:r>
      <w:r w:rsidRPr="00D93BD5">
        <w:rPr>
          <w:rFonts w:ascii="Arial" w:hAnsi="Arial" w:cs="Arial"/>
          <w:sz w:val="20"/>
          <w:szCs w:val="20"/>
        </w:rPr>
        <w:t>objectives</w:t>
      </w:r>
    </w:p>
    <w:p w:rsidR="00AA03D7" w:rsidRPr="00D93BD5" w:rsidRDefault="00C019F3" w:rsidP="002F0845">
      <w:pPr>
        <w:pStyle w:val="ListParagraph"/>
        <w:numPr>
          <w:ilvl w:val="0"/>
          <w:numId w:val="3"/>
        </w:numPr>
        <w:tabs>
          <w:tab w:val="left" w:pos="1699"/>
          <w:tab w:val="left" w:pos="1700"/>
        </w:tabs>
        <w:rPr>
          <w:rFonts w:ascii="Arial" w:hAnsi="Arial" w:cs="Arial"/>
          <w:sz w:val="20"/>
          <w:szCs w:val="20"/>
        </w:rPr>
      </w:pPr>
      <w:r w:rsidRPr="00D93BD5">
        <w:rPr>
          <w:rFonts w:ascii="Arial" w:hAnsi="Arial" w:cs="Arial"/>
          <w:sz w:val="20"/>
          <w:szCs w:val="20"/>
        </w:rPr>
        <w:t>Effective Business Continuity Management</w:t>
      </w:r>
      <w:r w:rsidRPr="00D93BD5">
        <w:rPr>
          <w:rFonts w:ascii="Arial" w:hAnsi="Arial" w:cs="Arial"/>
          <w:spacing w:val="-17"/>
          <w:sz w:val="20"/>
          <w:szCs w:val="20"/>
        </w:rPr>
        <w:t xml:space="preserve"> </w:t>
      </w:r>
      <w:r w:rsidRPr="00D93BD5">
        <w:rPr>
          <w:rFonts w:ascii="Arial" w:hAnsi="Arial" w:cs="Arial"/>
          <w:sz w:val="20"/>
          <w:szCs w:val="20"/>
        </w:rPr>
        <w:t>includes</w:t>
      </w:r>
    </w:p>
    <w:p w:rsidR="00AA03D7" w:rsidRPr="00D93BD5" w:rsidRDefault="00C019F3">
      <w:pPr>
        <w:pStyle w:val="ListParagraph"/>
        <w:numPr>
          <w:ilvl w:val="1"/>
          <w:numId w:val="2"/>
        </w:numPr>
        <w:tabs>
          <w:tab w:val="left" w:pos="2647"/>
          <w:tab w:val="left" w:pos="2648"/>
        </w:tabs>
        <w:rPr>
          <w:rFonts w:ascii="Arial" w:hAnsi="Arial" w:cs="Arial"/>
          <w:sz w:val="20"/>
          <w:szCs w:val="20"/>
        </w:rPr>
      </w:pPr>
      <w:r w:rsidRPr="00D93BD5">
        <w:rPr>
          <w:rFonts w:ascii="Arial" w:hAnsi="Arial" w:cs="Arial"/>
          <w:sz w:val="20"/>
          <w:szCs w:val="20"/>
        </w:rPr>
        <w:t>Senior management</w:t>
      </w:r>
      <w:r w:rsidRPr="00D93BD5">
        <w:rPr>
          <w:rFonts w:ascii="Arial" w:hAnsi="Arial" w:cs="Arial"/>
          <w:spacing w:val="-11"/>
          <w:sz w:val="20"/>
          <w:szCs w:val="20"/>
        </w:rPr>
        <w:t xml:space="preserve"> </w:t>
      </w:r>
      <w:r w:rsidRPr="00D93BD5">
        <w:rPr>
          <w:rFonts w:ascii="Arial" w:hAnsi="Arial" w:cs="Arial"/>
          <w:sz w:val="20"/>
          <w:szCs w:val="20"/>
        </w:rPr>
        <w:t>commitment</w:t>
      </w:r>
    </w:p>
    <w:p w:rsidR="00AA03D7" w:rsidRPr="00D93BD5" w:rsidRDefault="00C019F3">
      <w:pPr>
        <w:pStyle w:val="ListParagraph"/>
        <w:numPr>
          <w:ilvl w:val="1"/>
          <w:numId w:val="2"/>
        </w:numPr>
        <w:tabs>
          <w:tab w:val="left" w:pos="2647"/>
          <w:tab w:val="left" w:pos="2648"/>
        </w:tabs>
        <w:spacing w:before="104"/>
        <w:rPr>
          <w:rFonts w:ascii="Arial" w:hAnsi="Arial" w:cs="Arial"/>
          <w:sz w:val="20"/>
          <w:szCs w:val="20"/>
        </w:rPr>
      </w:pPr>
      <w:r w:rsidRPr="00D93BD5">
        <w:rPr>
          <w:rFonts w:ascii="Arial" w:hAnsi="Arial" w:cs="Arial"/>
          <w:sz w:val="20"/>
          <w:szCs w:val="20"/>
        </w:rPr>
        <w:t>Shared care and concern for people and issues and their</w:t>
      </w:r>
      <w:r w:rsidRPr="00D93BD5">
        <w:rPr>
          <w:rFonts w:ascii="Arial" w:hAnsi="Arial" w:cs="Arial"/>
          <w:spacing w:val="-21"/>
          <w:sz w:val="20"/>
          <w:szCs w:val="20"/>
        </w:rPr>
        <w:t xml:space="preserve"> </w:t>
      </w:r>
      <w:r w:rsidRPr="00D93BD5">
        <w:rPr>
          <w:rFonts w:ascii="Arial" w:hAnsi="Arial" w:cs="Arial"/>
          <w:sz w:val="20"/>
          <w:szCs w:val="20"/>
        </w:rPr>
        <w:t>impacts</w:t>
      </w:r>
    </w:p>
    <w:p w:rsidR="00AA03D7" w:rsidRPr="00D93BD5" w:rsidRDefault="00C019F3">
      <w:pPr>
        <w:pStyle w:val="ListParagraph"/>
        <w:numPr>
          <w:ilvl w:val="1"/>
          <w:numId w:val="2"/>
        </w:numPr>
        <w:tabs>
          <w:tab w:val="left" w:pos="2647"/>
          <w:tab w:val="left" w:pos="2648"/>
        </w:tabs>
        <w:spacing w:before="107" w:line="254" w:lineRule="exact"/>
        <w:ind w:right="1654"/>
        <w:rPr>
          <w:rFonts w:ascii="Arial" w:hAnsi="Arial" w:cs="Arial"/>
          <w:sz w:val="20"/>
          <w:szCs w:val="20"/>
        </w:rPr>
      </w:pPr>
      <w:r w:rsidRPr="00D93BD5">
        <w:rPr>
          <w:rFonts w:ascii="Arial" w:hAnsi="Arial" w:cs="Arial"/>
          <w:sz w:val="20"/>
          <w:szCs w:val="20"/>
        </w:rPr>
        <w:t>Continual reflection upon changing environments and practice through monitoring, analysis and feedback</w:t>
      </w:r>
      <w:r w:rsidRPr="00D93BD5">
        <w:rPr>
          <w:rFonts w:ascii="Arial" w:hAnsi="Arial" w:cs="Arial"/>
          <w:spacing w:val="-12"/>
          <w:sz w:val="20"/>
          <w:szCs w:val="20"/>
        </w:rPr>
        <w:t xml:space="preserve"> </w:t>
      </w:r>
      <w:r w:rsidRPr="00D93BD5">
        <w:rPr>
          <w:rFonts w:ascii="Arial" w:hAnsi="Arial" w:cs="Arial"/>
          <w:sz w:val="20"/>
          <w:szCs w:val="20"/>
        </w:rPr>
        <w:t>systems.</w:t>
      </w:r>
    </w:p>
    <w:p w:rsidR="00AA03D7" w:rsidRPr="00D93BD5" w:rsidRDefault="00C019F3">
      <w:pPr>
        <w:pStyle w:val="ListParagraph"/>
        <w:numPr>
          <w:ilvl w:val="1"/>
          <w:numId w:val="2"/>
        </w:numPr>
        <w:tabs>
          <w:tab w:val="left" w:pos="2647"/>
          <w:tab w:val="left" w:pos="2648"/>
        </w:tabs>
        <w:spacing w:line="256" w:lineRule="exact"/>
        <w:ind w:right="1656"/>
        <w:rPr>
          <w:rFonts w:ascii="Arial" w:hAnsi="Arial" w:cs="Arial"/>
          <w:sz w:val="20"/>
          <w:szCs w:val="20"/>
        </w:rPr>
      </w:pPr>
      <w:r w:rsidRPr="00D93BD5">
        <w:rPr>
          <w:rFonts w:ascii="Arial" w:hAnsi="Arial" w:cs="Arial"/>
          <w:sz w:val="20"/>
          <w:szCs w:val="20"/>
        </w:rPr>
        <w:t>Ensuring all stakeholders are aware of the continuity arrangements and have had relevant training and</w:t>
      </w:r>
      <w:r w:rsidRPr="00D93BD5">
        <w:rPr>
          <w:rFonts w:ascii="Arial" w:hAnsi="Arial" w:cs="Arial"/>
          <w:spacing w:val="-11"/>
          <w:sz w:val="20"/>
          <w:szCs w:val="20"/>
        </w:rPr>
        <w:t xml:space="preserve"> </w:t>
      </w:r>
      <w:r w:rsidRPr="00D93BD5">
        <w:rPr>
          <w:rFonts w:ascii="Arial" w:hAnsi="Arial" w:cs="Arial"/>
          <w:sz w:val="20"/>
          <w:szCs w:val="20"/>
        </w:rPr>
        <w:t>education</w:t>
      </w:r>
    </w:p>
    <w:p w:rsidR="00AA03D7" w:rsidRPr="00D93BD5" w:rsidRDefault="00AA03D7">
      <w:pPr>
        <w:pStyle w:val="BodyText"/>
        <w:spacing w:before="1"/>
        <w:rPr>
          <w:rFonts w:ascii="Arial" w:hAnsi="Arial" w:cs="Arial"/>
          <w:sz w:val="20"/>
          <w:szCs w:val="20"/>
        </w:rPr>
      </w:pPr>
    </w:p>
    <w:p w:rsidR="00C019F3" w:rsidRPr="002F0845" w:rsidRDefault="00C019F3">
      <w:pPr>
        <w:ind w:left="848"/>
        <w:jc w:val="both"/>
        <w:rPr>
          <w:rFonts w:ascii="Arial" w:hAnsi="Arial" w:cs="Arial"/>
          <w:i/>
          <w:w w:val="120"/>
          <w:sz w:val="18"/>
        </w:rPr>
      </w:pPr>
      <w:r w:rsidRPr="002F0845">
        <w:rPr>
          <w:rFonts w:ascii="Arial" w:hAnsi="Arial" w:cs="Arial"/>
          <w:i/>
          <w:w w:val="120"/>
          <w:sz w:val="18"/>
        </w:rPr>
        <w:t>All Policy, Processes, Guidelines &amp; Manuals are to be adhered to in accordance with [</w:t>
      </w:r>
      <w:proofErr w:type="spellStart"/>
      <w:r w:rsidRPr="002F0845">
        <w:rPr>
          <w:rFonts w:ascii="Arial" w:hAnsi="Arial" w:cs="Arial"/>
          <w:i/>
          <w:w w:val="120"/>
          <w:sz w:val="18"/>
        </w:rPr>
        <w:t>Organisation</w:t>
      </w:r>
      <w:proofErr w:type="spellEnd"/>
      <w:r w:rsidRPr="002F0845">
        <w:rPr>
          <w:rFonts w:ascii="Arial" w:hAnsi="Arial" w:cs="Arial"/>
          <w:i/>
          <w:w w:val="120"/>
          <w:sz w:val="18"/>
        </w:rPr>
        <w:t>] Policy</w:t>
      </w:r>
    </w:p>
    <w:p w:rsidR="00AA03D7" w:rsidRPr="002F0845" w:rsidRDefault="00C019F3">
      <w:pPr>
        <w:ind w:left="848"/>
        <w:jc w:val="both"/>
        <w:rPr>
          <w:rFonts w:ascii="Arial" w:hAnsi="Arial" w:cs="Arial"/>
          <w:i/>
          <w:sz w:val="18"/>
        </w:rPr>
      </w:pPr>
      <w:r w:rsidRPr="002F0845">
        <w:rPr>
          <w:rFonts w:ascii="Arial" w:hAnsi="Arial" w:cs="Arial"/>
          <w:i/>
          <w:w w:val="120"/>
          <w:sz w:val="18"/>
        </w:rPr>
        <w:t>Requirements</w:t>
      </w:r>
    </w:p>
    <w:p w:rsidR="00AA03D7" w:rsidRPr="002F0845" w:rsidRDefault="00C019F3" w:rsidP="00E41D58">
      <w:pPr>
        <w:spacing w:before="124"/>
        <w:ind w:left="847"/>
        <w:jc w:val="both"/>
        <w:rPr>
          <w:rFonts w:ascii="Arial" w:hAnsi="Arial" w:cs="Arial"/>
          <w:sz w:val="13"/>
        </w:rPr>
        <w:sectPr w:rsidR="00AA03D7" w:rsidRPr="002F0845">
          <w:headerReference w:type="default" r:id="rId7"/>
          <w:footerReference w:type="default" r:id="rId8"/>
          <w:type w:val="continuous"/>
          <w:pgSz w:w="11900" w:h="16840"/>
          <w:pgMar w:top="0" w:right="0" w:bottom="0" w:left="400" w:header="720" w:footer="720" w:gutter="0"/>
          <w:cols w:space="720"/>
        </w:sectPr>
      </w:pPr>
      <w:r w:rsidRPr="002F0845">
        <w:rPr>
          <w:rFonts w:ascii="Arial" w:hAnsi="Arial" w:cs="Arial"/>
          <w:w w:val="120"/>
          <w:sz w:val="16"/>
        </w:rPr>
        <w:t>R</w:t>
      </w:r>
      <w:r w:rsidRPr="002F0845">
        <w:rPr>
          <w:rFonts w:ascii="Arial" w:hAnsi="Arial" w:cs="Arial"/>
          <w:w w:val="120"/>
          <w:sz w:val="13"/>
        </w:rPr>
        <w:t xml:space="preserve">ELEVANT </w:t>
      </w:r>
      <w:r w:rsidRPr="002F0845">
        <w:rPr>
          <w:rFonts w:ascii="Arial" w:hAnsi="Arial" w:cs="Arial"/>
          <w:w w:val="120"/>
          <w:sz w:val="16"/>
        </w:rPr>
        <w:t>L</w:t>
      </w:r>
      <w:r w:rsidRPr="002F0845">
        <w:rPr>
          <w:rFonts w:ascii="Arial" w:hAnsi="Arial" w:cs="Arial"/>
          <w:w w:val="120"/>
          <w:sz w:val="13"/>
        </w:rPr>
        <w:t>EGISLATION</w:t>
      </w:r>
      <w:r w:rsidRPr="002F0845">
        <w:rPr>
          <w:rFonts w:ascii="Arial" w:hAnsi="Arial" w:cs="Arial"/>
          <w:w w:val="120"/>
          <w:sz w:val="16"/>
        </w:rPr>
        <w:t>\B</w:t>
      </w:r>
      <w:r w:rsidRPr="002F0845">
        <w:rPr>
          <w:rFonts w:ascii="Arial" w:hAnsi="Arial" w:cs="Arial"/>
          <w:w w:val="120"/>
          <w:sz w:val="13"/>
        </w:rPr>
        <w:t>Y</w:t>
      </w:r>
      <w:r w:rsidRPr="002F0845">
        <w:rPr>
          <w:rFonts w:ascii="Arial" w:hAnsi="Arial" w:cs="Arial"/>
          <w:w w:val="120"/>
          <w:sz w:val="16"/>
        </w:rPr>
        <w:t>-L</w:t>
      </w:r>
      <w:r w:rsidRPr="002F0845">
        <w:rPr>
          <w:rFonts w:ascii="Arial" w:hAnsi="Arial" w:cs="Arial"/>
          <w:w w:val="120"/>
          <w:sz w:val="13"/>
        </w:rPr>
        <w:t>AWS</w:t>
      </w:r>
    </w:p>
    <w:p w:rsidR="00AA03D7" w:rsidRPr="002F0845" w:rsidRDefault="00C019F3">
      <w:pPr>
        <w:spacing w:before="1"/>
        <w:ind w:left="847"/>
        <w:rPr>
          <w:rFonts w:ascii="Arial" w:hAnsi="Arial" w:cs="Arial"/>
          <w:i/>
          <w:sz w:val="16"/>
        </w:rPr>
      </w:pPr>
      <w:r w:rsidRPr="002F0845">
        <w:rPr>
          <w:rFonts w:ascii="Arial" w:hAnsi="Arial" w:cs="Arial"/>
        </w:rPr>
        <w:br w:type="column"/>
      </w:r>
    </w:p>
    <w:p w:rsidR="00AA03D7" w:rsidRPr="002F0845" w:rsidRDefault="00AA03D7">
      <w:pPr>
        <w:rPr>
          <w:rFonts w:ascii="Arial" w:hAnsi="Arial" w:cs="Arial"/>
          <w:sz w:val="16"/>
        </w:rPr>
        <w:sectPr w:rsidR="00AA03D7" w:rsidRPr="002F0845">
          <w:type w:val="continuous"/>
          <w:pgSz w:w="11900" w:h="16840"/>
          <w:pgMar w:top="0" w:right="0" w:bottom="0" w:left="400" w:header="720" w:footer="720" w:gutter="0"/>
          <w:cols w:num="2" w:space="720" w:equalWidth="0">
            <w:col w:w="4622" w:space="723"/>
            <w:col w:w="6155"/>
          </w:cols>
        </w:sectPr>
      </w:pPr>
    </w:p>
    <w:p w:rsidR="00AA03D7" w:rsidRPr="002F0845" w:rsidRDefault="00AA03D7">
      <w:pPr>
        <w:pStyle w:val="BodyText"/>
        <w:spacing w:before="6"/>
        <w:rPr>
          <w:rFonts w:ascii="Arial" w:hAnsi="Arial" w:cs="Arial"/>
          <w:i/>
          <w:sz w:val="17"/>
        </w:rPr>
      </w:pPr>
    </w:p>
    <w:p w:rsidR="00AA03D7" w:rsidRPr="002F0845" w:rsidRDefault="00AA03D7">
      <w:pPr>
        <w:pStyle w:val="BodyText"/>
        <w:spacing w:before="0"/>
        <w:ind w:left="697"/>
        <w:rPr>
          <w:rFonts w:ascii="Arial" w:hAnsi="Arial" w:cs="Arial"/>
          <w:sz w:val="20"/>
        </w:rPr>
      </w:pPr>
    </w:p>
    <w:p w:rsidR="00AA03D7" w:rsidRPr="002F0845" w:rsidRDefault="00AA03D7">
      <w:pPr>
        <w:pStyle w:val="BodyText"/>
        <w:spacing w:before="1"/>
        <w:rPr>
          <w:rFonts w:ascii="Arial" w:hAnsi="Arial" w:cs="Arial"/>
          <w:i/>
          <w:sz w:val="17"/>
        </w:rPr>
      </w:pPr>
    </w:p>
    <w:p w:rsidR="00AA03D7" w:rsidRPr="002F0845" w:rsidRDefault="00C019F3">
      <w:pPr>
        <w:tabs>
          <w:tab w:val="left" w:pos="5026"/>
          <w:tab w:val="left" w:pos="6977"/>
        </w:tabs>
        <w:spacing w:before="1"/>
        <w:ind w:left="847"/>
        <w:rPr>
          <w:rFonts w:ascii="Arial" w:hAnsi="Arial" w:cs="Arial"/>
          <w:sz w:val="16"/>
        </w:rPr>
      </w:pPr>
      <w:r w:rsidRPr="002F0845">
        <w:rPr>
          <w:rFonts w:ascii="Arial" w:hAnsi="Arial" w:cs="Arial"/>
          <w:sz w:val="16"/>
        </w:rPr>
        <w:tab/>
      </w:r>
    </w:p>
    <w:sectPr w:rsidR="00AA03D7" w:rsidRPr="002F0845">
      <w:type w:val="continuous"/>
      <w:pgSz w:w="11900" w:h="16840"/>
      <w:pgMar w:top="0" w:right="0" w:bottom="0" w:left="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BD5" w:rsidRDefault="00D93BD5" w:rsidP="00D93BD5">
      <w:r>
        <w:separator/>
      </w:r>
    </w:p>
  </w:endnote>
  <w:endnote w:type="continuationSeparator" w:id="0">
    <w:p w:rsidR="00D93BD5" w:rsidRDefault="00D93BD5" w:rsidP="00D9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58" w:rsidRDefault="00D93BD5" w:rsidP="00D93BD5">
    <w:pPr>
      <w:pStyle w:val="Footer"/>
      <w:rPr>
        <w:rFonts w:ascii="Arial" w:hAnsi="Arial" w:cs="Arial"/>
        <w:sz w:val="16"/>
        <w:szCs w:val="16"/>
      </w:rPr>
    </w:pPr>
    <w:r w:rsidRPr="00337268">
      <w:rPr>
        <w:rFonts w:ascii="Arial" w:hAnsi="Arial" w:cs="Arial"/>
        <w:sz w:val="16"/>
        <w:szCs w:val="16"/>
      </w:rPr>
      <w:t xml:space="preserve">This document has been donated by a member as part of the donated member document service. It may be of assistance to you in carrying out your responsibilities. These documents are not designed to cover or comply with all applicable legislation or case law and are specific to a particular company </w:t>
    </w:r>
  </w:p>
  <w:p w:rsidR="00D93BD5" w:rsidRPr="00337268" w:rsidRDefault="00D93BD5" w:rsidP="00D93BD5">
    <w:pPr>
      <w:pStyle w:val="Footer"/>
      <w:rPr>
        <w:rFonts w:ascii="Arial" w:hAnsi="Arial" w:cs="Arial"/>
        <w:sz w:val="16"/>
        <w:szCs w:val="16"/>
      </w:rPr>
    </w:pPr>
    <w:r w:rsidRPr="00337268">
      <w:rPr>
        <w:rFonts w:ascii="Arial" w:hAnsi="Arial" w:cs="Arial"/>
        <w:sz w:val="16"/>
        <w:szCs w:val="16"/>
      </w:rPr>
      <w:t>at a point in time. Members considering using them will need to adapt them to suit their own circumstances and should obtain legal advice as appropriate. We cannot be held liable or accountable to any person who acts or relies upon the information provided. The documents are not a substitute for professional advice.</w:t>
    </w:r>
  </w:p>
  <w:p w:rsidR="00D93BD5" w:rsidRDefault="00D93BD5" w:rsidP="00D93BD5">
    <w:pPr>
      <w:pStyle w:val="Footer"/>
    </w:pPr>
  </w:p>
  <w:p w:rsidR="00D93BD5" w:rsidRDefault="00D93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BD5" w:rsidRDefault="00D93BD5" w:rsidP="00D93BD5">
      <w:r>
        <w:separator/>
      </w:r>
    </w:p>
  </w:footnote>
  <w:footnote w:type="continuationSeparator" w:id="0">
    <w:p w:rsidR="00D93BD5" w:rsidRDefault="00D93BD5" w:rsidP="00D93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BD5" w:rsidRDefault="00D93BD5">
    <w:pPr>
      <w:pStyle w:val="Header"/>
    </w:pPr>
    <w:r w:rsidRPr="00337268">
      <w:rPr>
        <w:rFonts w:ascii="Arial" w:hAnsi="Arial" w:cs="Arial"/>
        <w:b/>
        <w:sz w:val="28"/>
        <w:szCs w:val="28"/>
      </w:rPr>
      <w:t>DONATED MEMBER DOCUMENT</w:t>
    </w:r>
  </w:p>
  <w:p w:rsidR="00D93BD5" w:rsidRDefault="00D93B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D01CB"/>
    <w:multiLevelType w:val="hybridMultilevel"/>
    <w:tmpl w:val="A05EB9A2"/>
    <w:lvl w:ilvl="0" w:tplc="0DBC504C">
      <w:start w:val="1"/>
      <w:numFmt w:val="bullet"/>
      <w:lvlText w:val=""/>
      <w:lvlJc w:val="left"/>
      <w:pPr>
        <w:ind w:left="1700" w:hanging="569"/>
      </w:pPr>
      <w:rPr>
        <w:rFonts w:ascii="Symbol" w:hAnsi="Symbol" w:hint="default"/>
        <w:color w:val="auto"/>
        <w:w w:val="100"/>
        <w:sz w:val="22"/>
        <w:szCs w:val="22"/>
      </w:rPr>
    </w:lvl>
    <w:lvl w:ilvl="1" w:tplc="72E088A0">
      <w:numFmt w:val="bullet"/>
      <w:lvlText w:val="o"/>
      <w:lvlJc w:val="left"/>
      <w:pPr>
        <w:ind w:left="2648" w:hanging="360"/>
      </w:pPr>
      <w:rPr>
        <w:rFonts w:ascii="Courier New" w:eastAsia="Courier New" w:hAnsi="Courier New" w:cs="Courier New" w:hint="default"/>
        <w:w w:val="100"/>
        <w:sz w:val="22"/>
        <w:szCs w:val="22"/>
      </w:rPr>
    </w:lvl>
    <w:lvl w:ilvl="2" w:tplc="D820D598">
      <w:numFmt w:val="bullet"/>
      <w:lvlText w:val="•"/>
      <w:lvlJc w:val="left"/>
      <w:pPr>
        <w:ind w:left="3624" w:hanging="360"/>
      </w:pPr>
      <w:rPr>
        <w:rFonts w:hint="default"/>
      </w:rPr>
    </w:lvl>
    <w:lvl w:ilvl="3" w:tplc="E4FC5BF0">
      <w:numFmt w:val="bullet"/>
      <w:lvlText w:val="•"/>
      <w:lvlJc w:val="left"/>
      <w:pPr>
        <w:ind w:left="4608" w:hanging="360"/>
      </w:pPr>
      <w:rPr>
        <w:rFonts w:hint="default"/>
      </w:rPr>
    </w:lvl>
    <w:lvl w:ilvl="4" w:tplc="96E2F3D0">
      <w:numFmt w:val="bullet"/>
      <w:lvlText w:val="•"/>
      <w:lvlJc w:val="left"/>
      <w:pPr>
        <w:ind w:left="5593" w:hanging="360"/>
      </w:pPr>
      <w:rPr>
        <w:rFonts w:hint="default"/>
      </w:rPr>
    </w:lvl>
    <w:lvl w:ilvl="5" w:tplc="1DAE0D62">
      <w:numFmt w:val="bullet"/>
      <w:lvlText w:val="•"/>
      <w:lvlJc w:val="left"/>
      <w:pPr>
        <w:ind w:left="6577" w:hanging="360"/>
      </w:pPr>
      <w:rPr>
        <w:rFonts w:hint="default"/>
      </w:rPr>
    </w:lvl>
    <w:lvl w:ilvl="6" w:tplc="DE1A095C">
      <w:numFmt w:val="bullet"/>
      <w:lvlText w:val="•"/>
      <w:lvlJc w:val="left"/>
      <w:pPr>
        <w:ind w:left="7562" w:hanging="360"/>
      </w:pPr>
      <w:rPr>
        <w:rFonts w:hint="default"/>
      </w:rPr>
    </w:lvl>
    <w:lvl w:ilvl="7" w:tplc="5198A190">
      <w:numFmt w:val="bullet"/>
      <w:lvlText w:val="•"/>
      <w:lvlJc w:val="left"/>
      <w:pPr>
        <w:ind w:left="8546" w:hanging="360"/>
      </w:pPr>
      <w:rPr>
        <w:rFonts w:hint="default"/>
      </w:rPr>
    </w:lvl>
    <w:lvl w:ilvl="8" w:tplc="966C3F36">
      <w:numFmt w:val="bullet"/>
      <w:lvlText w:val="•"/>
      <w:lvlJc w:val="left"/>
      <w:pPr>
        <w:ind w:left="9531" w:hanging="360"/>
      </w:pPr>
      <w:rPr>
        <w:rFonts w:hint="default"/>
      </w:rPr>
    </w:lvl>
  </w:abstractNum>
  <w:abstractNum w:abstractNumId="1" w15:restartNumberingAfterBreak="0">
    <w:nsid w:val="35412A02"/>
    <w:multiLevelType w:val="hybridMultilevel"/>
    <w:tmpl w:val="9FF05FEA"/>
    <w:lvl w:ilvl="0" w:tplc="2D80CF50">
      <w:numFmt w:val="bullet"/>
      <w:lvlText w:val="✓"/>
      <w:lvlJc w:val="left"/>
      <w:pPr>
        <w:ind w:left="0" w:hanging="274"/>
      </w:pPr>
      <w:rPr>
        <w:rFonts w:ascii="Lucida Sans" w:eastAsia="Lucida Sans" w:hAnsi="Lucida Sans" w:cs="Lucida Sans" w:hint="default"/>
        <w:color w:val="7F0000"/>
        <w:w w:val="100"/>
        <w:sz w:val="24"/>
        <w:szCs w:val="24"/>
      </w:rPr>
    </w:lvl>
    <w:lvl w:ilvl="1" w:tplc="BAB2E834">
      <w:numFmt w:val="bullet"/>
      <w:lvlText w:val="•"/>
      <w:lvlJc w:val="left"/>
      <w:pPr>
        <w:ind w:left="151" w:hanging="274"/>
      </w:pPr>
      <w:rPr>
        <w:rFonts w:hint="default"/>
      </w:rPr>
    </w:lvl>
    <w:lvl w:ilvl="2" w:tplc="BBCE5830">
      <w:numFmt w:val="bullet"/>
      <w:lvlText w:val="•"/>
      <w:lvlJc w:val="left"/>
      <w:pPr>
        <w:ind w:left="303" w:hanging="274"/>
      </w:pPr>
      <w:rPr>
        <w:rFonts w:hint="default"/>
      </w:rPr>
    </w:lvl>
    <w:lvl w:ilvl="3" w:tplc="AB8A3E48">
      <w:numFmt w:val="bullet"/>
      <w:lvlText w:val="•"/>
      <w:lvlJc w:val="left"/>
      <w:pPr>
        <w:ind w:left="454" w:hanging="274"/>
      </w:pPr>
      <w:rPr>
        <w:rFonts w:hint="default"/>
      </w:rPr>
    </w:lvl>
    <w:lvl w:ilvl="4" w:tplc="A704F1B6">
      <w:numFmt w:val="bullet"/>
      <w:lvlText w:val="•"/>
      <w:lvlJc w:val="left"/>
      <w:pPr>
        <w:ind w:left="606" w:hanging="274"/>
      </w:pPr>
      <w:rPr>
        <w:rFonts w:hint="default"/>
      </w:rPr>
    </w:lvl>
    <w:lvl w:ilvl="5" w:tplc="65F61C62">
      <w:numFmt w:val="bullet"/>
      <w:lvlText w:val="•"/>
      <w:lvlJc w:val="left"/>
      <w:pPr>
        <w:ind w:left="758" w:hanging="274"/>
      </w:pPr>
      <w:rPr>
        <w:rFonts w:hint="default"/>
      </w:rPr>
    </w:lvl>
    <w:lvl w:ilvl="6" w:tplc="35C8C9F6">
      <w:numFmt w:val="bullet"/>
      <w:lvlText w:val="•"/>
      <w:lvlJc w:val="left"/>
      <w:pPr>
        <w:ind w:left="909" w:hanging="274"/>
      </w:pPr>
      <w:rPr>
        <w:rFonts w:hint="default"/>
      </w:rPr>
    </w:lvl>
    <w:lvl w:ilvl="7" w:tplc="9050E8CE">
      <w:numFmt w:val="bullet"/>
      <w:lvlText w:val="•"/>
      <w:lvlJc w:val="left"/>
      <w:pPr>
        <w:ind w:left="1061" w:hanging="274"/>
      </w:pPr>
      <w:rPr>
        <w:rFonts w:hint="default"/>
      </w:rPr>
    </w:lvl>
    <w:lvl w:ilvl="8" w:tplc="A48642C4">
      <w:numFmt w:val="bullet"/>
      <w:lvlText w:val="•"/>
      <w:lvlJc w:val="left"/>
      <w:pPr>
        <w:ind w:left="1212" w:hanging="274"/>
      </w:pPr>
      <w:rPr>
        <w:rFonts w:hint="default"/>
      </w:rPr>
    </w:lvl>
  </w:abstractNum>
  <w:abstractNum w:abstractNumId="2" w15:restartNumberingAfterBreak="0">
    <w:nsid w:val="75742EAE"/>
    <w:multiLevelType w:val="hybridMultilevel"/>
    <w:tmpl w:val="02EC6284"/>
    <w:lvl w:ilvl="0" w:tplc="C4C06B22">
      <w:numFmt w:val="bullet"/>
      <w:lvlText w:val=""/>
      <w:lvlJc w:val="left"/>
      <w:pPr>
        <w:ind w:left="1700" w:hanging="569"/>
      </w:pPr>
      <w:rPr>
        <w:rFonts w:ascii="Symbol" w:eastAsia="Symbol" w:hAnsi="Symbol" w:cs="Symbol" w:hint="default"/>
        <w:color w:val="FEBC02"/>
        <w:w w:val="100"/>
        <w:sz w:val="22"/>
        <w:szCs w:val="22"/>
      </w:rPr>
    </w:lvl>
    <w:lvl w:ilvl="1" w:tplc="72E088A0">
      <w:numFmt w:val="bullet"/>
      <w:lvlText w:val="o"/>
      <w:lvlJc w:val="left"/>
      <w:pPr>
        <w:ind w:left="2648" w:hanging="360"/>
      </w:pPr>
      <w:rPr>
        <w:rFonts w:ascii="Courier New" w:eastAsia="Courier New" w:hAnsi="Courier New" w:cs="Courier New" w:hint="default"/>
        <w:w w:val="100"/>
        <w:sz w:val="22"/>
        <w:szCs w:val="22"/>
      </w:rPr>
    </w:lvl>
    <w:lvl w:ilvl="2" w:tplc="D820D598">
      <w:numFmt w:val="bullet"/>
      <w:lvlText w:val="•"/>
      <w:lvlJc w:val="left"/>
      <w:pPr>
        <w:ind w:left="3624" w:hanging="360"/>
      </w:pPr>
      <w:rPr>
        <w:rFonts w:hint="default"/>
      </w:rPr>
    </w:lvl>
    <w:lvl w:ilvl="3" w:tplc="E4FC5BF0">
      <w:numFmt w:val="bullet"/>
      <w:lvlText w:val="•"/>
      <w:lvlJc w:val="left"/>
      <w:pPr>
        <w:ind w:left="4608" w:hanging="360"/>
      </w:pPr>
      <w:rPr>
        <w:rFonts w:hint="default"/>
      </w:rPr>
    </w:lvl>
    <w:lvl w:ilvl="4" w:tplc="96E2F3D0">
      <w:numFmt w:val="bullet"/>
      <w:lvlText w:val="•"/>
      <w:lvlJc w:val="left"/>
      <w:pPr>
        <w:ind w:left="5593" w:hanging="360"/>
      </w:pPr>
      <w:rPr>
        <w:rFonts w:hint="default"/>
      </w:rPr>
    </w:lvl>
    <w:lvl w:ilvl="5" w:tplc="1DAE0D62">
      <w:numFmt w:val="bullet"/>
      <w:lvlText w:val="•"/>
      <w:lvlJc w:val="left"/>
      <w:pPr>
        <w:ind w:left="6577" w:hanging="360"/>
      </w:pPr>
      <w:rPr>
        <w:rFonts w:hint="default"/>
      </w:rPr>
    </w:lvl>
    <w:lvl w:ilvl="6" w:tplc="DE1A095C">
      <w:numFmt w:val="bullet"/>
      <w:lvlText w:val="•"/>
      <w:lvlJc w:val="left"/>
      <w:pPr>
        <w:ind w:left="7562" w:hanging="360"/>
      </w:pPr>
      <w:rPr>
        <w:rFonts w:hint="default"/>
      </w:rPr>
    </w:lvl>
    <w:lvl w:ilvl="7" w:tplc="5198A190">
      <w:numFmt w:val="bullet"/>
      <w:lvlText w:val="•"/>
      <w:lvlJc w:val="left"/>
      <w:pPr>
        <w:ind w:left="8546" w:hanging="360"/>
      </w:pPr>
      <w:rPr>
        <w:rFonts w:hint="default"/>
      </w:rPr>
    </w:lvl>
    <w:lvl w:ilvl="8" w:tplc="966C3F36">
      <w:numFmt w:val="bullet"/>
      <w:lvlText w:val="•"/>
      <w:lvlJc w:val="left"/>
      <w:pPr>
        <w:ind w:left="9531"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D7"/>
    <w:rsid w:val="002F0845"/>
    <w:rsid w:val="00AA03D7"/>
    <w:rsid w:val="00C019F3"/>
    <w:rsid w:val="00C80292"/>
    <w:rsid w:val="00D93BD5"/>
    <w:rsid w:val="00E41D58"/>
    <w:rsid w:val="00E757CC"/>
    <w:rsid w:val="00FB53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401EA-DBF1-4202-A4BA-0B74E1DD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pPr>
  </w:style>
  <w:style w:type="paragraph" w:styleId="ListParagraph">
    <w:name w:val="List Paragraph"/>
    <w:basedOn w:val="Normal"/>
    <w:uiPriority w:val="1"/>
    <w:qFormat/>
    <w:pPr>
      <w:spacing w:before="119"/>
      <w:ind w:left="1700" w:hanging="56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93BD5"/>
    <w:pPr>
      <w:tabs>
        <w:tab w:val="center" w:pos="4513"/>
        <w:tab w:val="right" w:pos="9026"/>
      </w:tabs>
    </w:pPr>
  </w:style>
  <w:style w:type="character" w:customStyle="1" w:styleId="HeaderChar">
    <w:name w:val="Header Char"/>
    <w:basedOn w:val="DefaultParagraphFont"/>
    <w:link w:val="Header"/>
    <w:uiPriority w:val="99"/>
    <w:rsid w:val="00D93BD5"/>
    <w:rPr>
      <w:rFonts w:ascii="Gill Sans MT" w:eastAsia="Gill Sans MT" w:hAnsi="Gill Sans MT" w:cs="Gill Sans MT"/>
    </w:rPr>
  </w:style>
  <w:style w:type="paragraph" w:styleId="Footer">
    <w:name w:val="footer"/>
    <w:basedOn w:val="Normal"/>
    <w:link w:val="FooterChar"/>
    <w:uiPriority w:val="99"/>
    <w:unhideWhenUsed/>
    <w:rsid w:val="00D93BD5"/>
    <w:pPr>
      <w:tabs>
        <w:tab w:val="center" w:pos="4513"/>
        <w:tab w:val="right" w:pos="9026"/>
      </w:tabs>
    </w:pPr>
  </w:style>
  <w:style w:type="character" w:customStyle="1" w:styleId="FooterChar">
    <w:name w:val="Footer Char"/>
    <w:basedOn w:val="DefaultParagraphFont"/>
    <w:link w:val="Footer"/>
    <w:uiPriority w:val="99"/>
    <w:rsid w:val="00D93BD5"/>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PO-DD-08 Business Continuity Management Policy.doc</vt:lpstr>
    </vt:vector>
  </TitlesOfParts>
  <Company>Nano Systems Pty Limited</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PO-DD-08 Business Continuity Management Policy.doc</dc:title>
  <dc:creator>jraiteri</dc:creator>
  <cp:lastModifiedBy>Michelle Huckel</cp:lastModifiedBy>
  <cp:revision>7</cp:revision>
  <dcterms:created xsi:type="dcterms:W3CDTF">2019-08-08T23:43:00Z</dcterms:created>
  <dcterms:modified xsi:type="dcterms:W3CDTF">2019-09-06T06:22:00Z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2008-05-14T00:00:00Z</vt:filetime>
  </property>
  <property fmtid="{D5CDD505-2E9C-101B-9397-08002B2CF9AE}" pid="3" name="Creator">
    <vt:lpwstr>PScript5.dll Version 5.2.2</vt:lpwstr>
  </property>
  <property fmtid="{D5CDD505-2E9C-101B-9397-08002B2CF9AE}" pid="4" name="LastSaved">
    <vt:filetime>2019-06-24T00:00:00Z</vt:filetime>
  </property>
</Properties>
</file>